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Львівської області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 травня 2018 року</w:t>
        <w:tab/>
        <w:tab/>
        <w:tab/>
        <w:tab/>
        <w:t xml:space="preserve">№ 337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розроблення детального плану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території для розташування об'єктів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виробничо-комунального призначення на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території Скнилівської сільської ради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за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п. 3 ст. 10, п. 2 ст. 19 Закону України «Про регулювання містобудівної діяльності», наказу Міністерства регіонального розвитку, будівництва та житлово–комунального господарства України від 16.11.2011 № 290, зареєстрованого в Міністерстві юстиції України від 20.12.2011 № 1468/20206, Схеми планування території Львівської області, затвердженої рішенням Львівської обласної ради від 08.12.2009  № 1077, схеми планування території Пустомитівського району (проект районної планіровки 1988 року, термін дії якого продовжено рішенням Пустомитівської районної ради від 25.04.2013 № 363), генерального плану с.Скнилів, затвердженого рішенням Скнилівської сільської ради від 09.10.2017 № 231,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розглянувши звернення гр. Монастирської Ольги Степанівни від 02.04.2018 про надання дозволу на розроблення детального плану території для розташування об»єктів виробничо-комунального призначення на території Скнилівської сільської ради за межами населеного пункту:</w:t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Розробити детальний план території для розташування об'єктів виробничо-комунального призначення на території Скнилівської сільської ради за межами населеного пункту.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Фінансування робіт із розроблення детального плану території провести за рахунок коштів гр. Монастирської Ольги Степанівни (власника земельної ділянки).</w:t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Відділу містобудування та архітектури районної державної адміністрації забезпечити укладання договору на розроблення містобудівної документації із проектною організацією, підготовку та надання даних на проектування.</w:t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851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4. Відділу економічного розвитку, інфраструктури та торгівлі районної державної адміністрації забезпечити оприлюднення даного розпорядження на веб-сайті районної державної адміністрації.</w:t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0"/>
          <w:szCs w:val="20"/>
          <w:highlight w:val="white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0"/>
          <w:szCs w:val="20"/>
          <w:highlight w:val="white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33333"/>
          <w:sz w:val="20"/>
          <w:szCs w:val="20"/>
          <w:highlight w:val="white"/>
          <w:u w:val="none"/>
          <w:vertAlign w:val="baseline"/>
          <w:rtl w:val="0"/>
        </w:rPr>
        <w:tab/>
        <w:tab/>
        <w:t xml:space="preserve">Голова</w:t>
        <w:tab/>
        <w:tab/>
        <w:tab/>
        <w:tab/>
        <w:tab/>
        <w:tab/>
        <w:tab/>
        <w:t xml:space="preserve">І.С.ХРУНЬ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  <w:font w:name="Time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